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A383E" w14:textId="2618444E" w:rsidR="00E8254C" w:rsidRPr="00ED63D3" w:rsidRDefault="006A767D" w:rsidP="00600831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b/>
          <w:sz w:val="28"/>
          <w:szCs w:val="28"/>
        </w:rPr>
        <w:t>TÀI LIỆU HƯỚNG DẪN ÔN TẬP</w:t>
      </w:r>
      <w:r w:rsidR="00C37957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24CAE57" w14:textId="37C483C7" w:rsidR="00C63DFB" w:rsidRPr="00ED63D3" w:rsidRDefault="002C35FA" w:rsidP="00001B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63D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Kèm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theo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tuyển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viên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i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39A1" w:rsidRPr="00ED63D3">
        <w:rPr>
          <w:rFonts w:ascii="Times New Roman" w:hAnsi="Times New Roman" w:cs="Times New Roman"/>
          <w:i/>
          <w:sz w:val="28"/>
          <w:szCs w:val="28"/>
        </w:rPr>
        <w:t>Trung</w:t>
      </w:r>
      <w:proofErr w:type="spellEnd"/>
      <w:r w:rsidR="007539A1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39A1" w:rsidRPr="00ED63D3">
        <w:rPr>
          <w:rFonts w:ascii="Times New Roman" w:hAnsi="Times New Roman" w:cs="Times New Roman"/>
          <w:i/>
          <w:sz w:val="28"/>
          <w:szCs w:val="28"/>
        </w:rPr>
        <w:t>tâm</w:t>
      </w:r>
      <w:proofErr w:type="spellEnd"/>
      <w:r w:rsidR="007539A1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39A1" w:rsidRPr="00ED63D3">
        <w:rPr>
          <w:rFonts w:ascii="Times New Roman" w:hAnsi="Times New Roman" w:cs="Times New Roman"/>
          <w:i/>
          <w:sz w:val="28"/>
          <w:szCs w:val="28"/>
        </w:rPr>
        <w:t>Ứng</w:t>
      </w:r>
      <w:proofErr w:type="spellEnd"/>
      <w:r w:rsidR="007539A1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539A1" w:rsidRPr="00ED63D3">
        <w:rPr>
          <w:rFonts w:ascii="Times New Roman" w:hAnsi="Times New Roman" w:cs="Times New Roman"/>
          <w:i/>
          <w:sz w:val="28"/>
          <w:szCs w:val="28"/>
        </w:rPr>
        <w:t>dụng</w:t>
      </w:r>
      <w:proofErr w:type="spellEnd"/>
      <w:r w:rsidR="007539A1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67FA" w:rsidRPr="00ED63D3">
        <w:rPr>
          <w:rFonts w:ascii="Times New Roman" w:hAnsi="Times New Roman" w:cs="Times New Roman"/>
          <w:i/>
          <w:sz w:val="28"/>
          <w:szCs w:val="28"/>
        </w:rPr>
        <w:t>công</w:t>
      </w:r>
      <w:proofErr w:type="spellEnd"/>
      <w:r w:rsidR="001767FA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67FA" w:rsidRPr="00ED63D3">
        <w:rPr>
          <w:rFonts w:ascii="Times New Roman" w:hAnsi="Times New Roman" w:cs="Times New Roman"/>
          <w:i/>
          <w:sz w:val="28"/>
          <w:szCs w:val="28"/>
        </w:rPr>
        <w:t>nghệ</w:t>
      </w:r>
      <w:proofErr w:type="spellEnd"/>
      <w:r w:rsidR="001767FA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67FA" w:rsidRPr="00ED63D3">
        <w:rPr>
          <w:rFonts w:ascii="Times New Roman" w:hAnsi="Times New Roman" w:cs="Times New Roman"/>
          <w:i/>
          <w:sz w:val="28"/>
          <w:szCs w:val="28"/>
        </w:rPr>
        <w:t>khí</w:t>
      </w:r>
      <w:proofErr w:type="spellEnd"/>
      <w:r w:rsidR="001767FA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67FA" w:rsidRPr="00ED63D3">
        <w:rPr>
          <w:rFonts w:ascii="Times New Roman" w:hAnsi="Times New Roman" w:cs="Times New Roman"/>
          <w:i/>
          <w:sz w:val="28"/>
          <w:szCs w:val="28"/>
        </w:rPr>
        <w:t>tượng</w:t>
      </w:r>
      <w:proofErr w:type="spellEnd"/>
      <w:r w:rsidR="001767FA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67FA" w:rsidRPr="00ED63D3">
        <w:rPr>
          <w:rFonts w:ascii="Times New Roman" w:hAnsi="Times New Roman" w:cs="Times New Roman"/>
          <w:i/>
          <w:sz w:val="28"/>
          <w:szCs w:val="28"/>
        </w:rPr>
        <w:t>thủy</w:t>
      </w:r>
      <w:proofErr w:type="spellEnd"/>
      <w:r w:rsidR="001767FA" w:rsidRPr="00ED63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767FA" w:rsidRPr="00ED63D3">
        <w:rPr>
          <w:rFonts w:ascii="Times New Roman" w:hAnsi="Times New Roman" w:cs="Times New Roman"/>
          <w:i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i/>
          <w:sz w:val="28"/>
          <w:szCs w:val="28"/>
        </w:rPr>
        <w:t>)</w:t>
      </w:r>
    </w:p>
    <w:p w14:paraId="090031FA" w14:textId="77777777" w:rsidR="00C82AC8" w:rsidRPr="00ED63D3" w:rsidRDefault="00C82AC8" w:rsidP="00001B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2C91759" w14:textId="7632A81C" w:rsidR="006A767D" w:rsidRPr="00ED63D3" w:rsidRDefault="006A767D" w:rsidP="00C82AC8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 w:line="29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b/>
          <w:sz w:val="28"/>
          <w:szCs w:val="28"/>
        </w:rPr>
        <w:t>PHẦN KIẾN THỨC CHUNG</w:t>
      </w:r>
    </w:p>
    <w:p w14:paraId="37917FB5" w14:textId="5C43DB1C" w:rsidR="006A767D" w:rsidRPr="00ED63D3" w:rsidRDefault="006A767D" w:rsidP="00C82AC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9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58/2010/QH12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63DD1C71" w14:textId="67A90C00" w:rsidR="00F751E8" w:rsidRPr="00ED63D3" w:rsidRDefault="00F751E8" w:rsidP="00C82AC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9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52/2019/QH14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34990526" w14:textId="7FC366D2" w:rsidR="006A767D" w:rsidRPr="00ED63D3" w:rsidRDefault="006A767D" w:rsidP="00C82AC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9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90/2015/QH13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77912935" w14:textId="064C8B4A" w:rsidR="00713F71" w:rsidRPr="00ED63D3" w:rsidRDefault="00713F71" w:rsidP="00C82AC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9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chống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tai</w:t>
      </w:r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số</w:t>
      </w:r>
      <w:proofErr w:type="spellEnd"/>
      <w:r w:rsidR="006F3C7B" w:rsidRPr="00ED63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33/2013/QH13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6D67646F" w14:textId="26D484AE" w:rsidR="006A767D" w:rsidRPr="00ED63D3" w:rsidRDefault="006A767D" w:rsidP="00C82AC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9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03/2018/QĐ-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3284EA2A" w14:textId="192CF563" w:rsidR="006A767D" w:rsidRPr="00ED63D3" w:rsidRDefault="006A767D" w:rsidP="00C82AC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9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r w:rsidR="00BA532C" w:rsidRPr="00ED63D3">
        <w:rPr>
          <w:rFonts w:ascii="Times New Roman" w:hAnsi="Times New Roman" w:cs="Times New Roman"/>
          <w:sz w:val="28"/>
          <w:szCs w:val="28"/>
        </w:rPr>
        <w:t>70</w:t>
      </w:r>
      <w:r w:rsidR="00262CDB" w:rsidRPr="00ED63D3">
        <w:rPr>
          <w:rFonts w:ascii="Times New Roman" w:hAnsi="Times New Roman" w:cs="Times New Roman"/>
          <w:sz w:val="28"/>
          <w:szCs w:val="28"/>
        </w:rPr>
        <w:t>5</w:t>
      </w:r>
      <w:r w:rsidRPr="00ED63D3">
        <w:rPr>
          <w:rFonts w:ascii="Times New Roman" w:hAnsi="Times New Roman" w:cs="Times New Roman"/>
          <w:sz w:val="28"/>
          <w:szCs w:val="28"/>
        </w:rPr>
        <w:t xml:space="preserve">/QĐ-BTNMT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30182034" w14:textId="59B20148" w:rsidR="00CB3F00" w:rsidRPr="00ED63D3" w:rsidRDefault="00CB3F00" w:rsidP="00C82AC8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9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262CD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A310FD" w:rsidRPr="00ED63D3">
        <w:rPr>
          <w:rFonts w:ascii="Times New Roman" w:hAnsi="Times New Roman" w:cs="Times New Roman"/>
          <w:sz w:val="28"/>
          <w:szCs w:val="28"/>
        </w:rPr>
        <w:t>.</w:t>
      </w:r>
    </w:p>
    <w:p w14:paraId="289847A7" w14:textId="77777777" w:rsidR="006A767D" w:rsidRPr="00ED63D3" w:rsidRDefault="006A767D" w:rsidP="00C82AC8">
      <w:pPr>
        <w:pStyle w:val="ListParagraph"/>
        <w:numPr>
          <w:ilvl w:val="0"/>
          <w:numId w:val="1"/>
        </w:numPr>
        <w:tabs>
          <w:tab w:val="left" w:pos="1134"/>
        </w:tabs>
        <w:spacing w:before="120" w:after="120" w:line="290" w:lineRule="auto"/>
        <w:ind w:left="0" w:firstLine="56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b/>
          <w:sz w:val="28"/>
          <w:szCs w:val="28"/>
        </w:rPr>
        <w:t>PHẦN KIẾN THỨC CHUYÊN MÔN, NGHIỆP VỤ</w:t>
      </w:r>
    </w:p>
    <w:p w14:paraId="7501A68F" w14:textId="77777777" w:rsidR="008B15AE" w:rsidRPr="00ED63D3" w:rsidRDefault="002D2CBA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Tổ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cán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bộ</w:t>
      </w:r>
      <w:proofErr w:type="spellEnd"/>
    </w:p>
    <w:p w14:paraId="5B5FB46F" w14:textId="4B9ED757" w:rsidR="008B15AE" w:rsidRPr="00ED63D3" w:rsidRDefault="008B15AE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58/2014/QH13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0199E32A" w14:textId="5BC28964" w:rsidR="008B15AE" w:rsidRPr="00ED63D3" w:rsidRDefault="002D2CBA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29/2012/NĐ-CP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768D325B" w14:textId="79CABBC9" w:rsidR="00713F71" w:rsidRPr="00ED63D3" w:rsidRDefault="00EF46E9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13F71"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713F71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3F71"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713F71" w:rsidRPr="00ED63D3">
        <w:rPr>
          <w:rFonts w:ascii="Times New Roman" w:hAnsi="Times New Roman" w:cs="Times New Roman"/>
          <w:sz w:val="28"/>
          <w:szCs w:val="28"/>
        </w:rPr>
        <w:t xml:space="preserve"> </w:t>
      </w:r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115/2020/NĐ-CP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ngày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25/9/2020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phủ</w:t>
      </w:r>
      <w:proofErr w:type="spellEnd"/>
      <w:r w:rsidR="00BA1F95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tuyển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sử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dụng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và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quản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lý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viên</w:t>
      </w:r>
      <w:proofErr w:type="spellEnd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1F95" w:rsidRPr="00ED63D3">
        <w:rPr>
          <w:rFonts w:ascii="Times New Roman" w:hAnsi="Times New Roman" w:cs="Times New Roman"/>
          <w:color w:val="000000"/>
          <w:sz w:val="28"/>
          <w:szCs w:val="28"/>
        </w:rPr>
        <w:t>chức</w:t>
      </w:r>
      <w:proofErr w:type="spellEnd"/>
      <w:r w:rsidR="00DF1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7AC77C3" w14:textId="334A5ECC" w:rsidR="008B15AE" w:rsidRPr="00ED63D3" w:rsidRDefault="002D2CBA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161/2018/N</w:t>
      </w:r>
      <w:r w:rsidR="00BA1F95" w:rsidRPr="00ED63D3">
        <w:rPr>
          <w:rFonts w:ascii="Times New Roman" w:hAnsi="Times New Roman" w:cs="Times New Roman"/>
          <w:sz w:val="28"/>
          <w:szCs w:val="28"/>
        </w:rPr>
        <w:t>/</w:t>
      </w:r>
      <w:r w:rsidR="008B15AE" w:rsidRPr="00ED63D3">
        <w:rPr>
          <w:rFonts w:ascii="Times New Roman" w:hAnsi="Times New Roman" w:cs="Times New Roman"/>
          <w:sz w:val="28"/>
          <w:szCs w:val="28"/>
        </w:rPr>
        <w:t xml:space="preserve">Đ-CP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ngàỵ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2018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ph</w:t>
      </w:r>
      <w:r w:rsidR="00875FAD" w:rsidRPr="00ED63D3">
        <w:rPr>
          <w:rFonts w:ascii="Times New Roman" w:hAnsi="Times New Roman" w:cs="Times New Roman"/>
          <w:sz w:val="28"/>
          <w:szCs w:val="28"/>
        </w:rPr>
        <w:t>ủ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thăng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hạng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7E7B1B79" w14:textId="39BCF34C" w:rsidR="008B15AE" w:rsidRPr="00ED63D3" w:rsidRDefault="008B15AE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204/2004/NĐ-CP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2004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</w:t>
      </w:r>
      <w:r w:rsidR="007E0A18" w:rsidRPr="00ED63D3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7E0A18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18"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7E0A18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A18" w:rsidRPr="00ED63D3">
        <w:rPr>
          <w:rFonts w:ascii="Times New Roman" w:hAnsi="Times New Roman" w:cs="Times New Roman"/>
          <w:sz w:val="28"/>
          <w:szCs w:val="28"/>
        </w:rPr>
        <w:t>p</w:t>
      </w:r>
      <w:r w:rsidRPr="00ED63D3">
        <w:rPr>
          <w:rFonts w:ascii="Times New Roman" w:hAnsi="Times New Roman" w:cs="Times New Roman"/>
          <w:sz w:val="28"/>
          <w:szCs w:val="28"/>
        </w:rPr>
        <w:t>hủ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vũ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7B26C835" w14:textId="20CE746A" w:rsidR="00713F71" w:rsidRPr="00ED63D3" w:rsidRDefault="00713F71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60</w:t>
      </w:r>
      <w:r w:rsidR="006F3C7B" w:rsidRPr="00ED63D3">
        <w:rPr>
          <w:rFonts w:ascii="Times New Roman" w:hAnsi="Times New Roman" w:cs="Times New Roman"/>
          <w:sz w:val="28"/>
          <w:szCs w:val="28"/>
        </w:rPr>
        <w:t>/2021/NĐ-CP</w:t>
      </w:r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21/6/2021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="006F3C7B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Quy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cơ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chế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tự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chủ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tài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chính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của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đơn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vị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sự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nghiệp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công</w:t>
      </w:r>
      <w:proofErr w:type="spellEnd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color w:val="000000"/>
          <w:sz w:val="28"/>
          <w:szCs w:val="28"/>
        </w:rPr>
        <w:t>lập</w:t>
      </w:r>
      <w:proofErr w:type="spellEnd"/>
      <w:r w:rsidR="00DF19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DA0008" w14:textId="71B3ED90" w:rsidR="008B15AE" w:rsidRPr="00ED63D3" w:rsidRDefault="008B15AE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08/2013/TT-BNV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xuyên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bậc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6D4019EE" w14:textId="05A4ACC6" w:rsidR="008B15AE" w:rsidRPr="00ED63D3" w:rsidRDefault="008B15AE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05/2017/TT-BNV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15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sung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11/2014/TT-BNV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09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2014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13/2010/TT-BNV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bổ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4F2FB64C" w14:textId="188E9A35" w:rsidR="008B15AE" w:rsidRPr="00ED63D3" w:rsidRDefault="002D2CBA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sổ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56/2015/TTLT-BTNMT-BNV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74715EBE" w14:textId="7841AEC0" w:rsidR="008B15AE" w:rsidRPr="00ED63D3" w:rsidRDefault="002D2CBA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55/2015/TTLT-BTNMT-BNV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nàm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soát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3C4C96C2" w14:textId="6395E026" w:rsidR="008B15AE" w:rsidRPr="00ED63D3" w:rsidRDefault="002D2CBA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24/2014/TTLT-BKHCN-BNV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01/10/2014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nghề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61407481" w14:textId="295181F3" w:rsidR="008B15AE" w:rsidRPr="00ED63D3" w:rsidRDefault="008B15AE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>-</w:t>
      </w:r>
      <w:r w:rsidR="002D2CBA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09/2010/TT-BNV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11/09/2010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nghiệp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ngạch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hải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trữ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00C26583" w14:textId="77777777" w:rsidR="008B15AE" w:rsidRPr="00ED63D3" w:rsidRDefault="002D2CBA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E" w:rsidRPr="00ED63D3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="008B15AE" w:rsidRPr="00ED63D3">
        <w:rPr>
          <w:rFonts w:ascii="Times New Roman" w:hAnsi="Times New Roman" w:cs="Times New Roman"/>
          <w:sz w:val="28"/>
          <w:szCs w:val="28"/>
        </w:rPr>
        <w:t>.</w:t>
      </w:r>
    </w:p>
    <w:p w14:paraId="3CBD149A" w14:textId="59E80BA4" w:rsidR="004563D9" w:rsidRPr="00ED63D3" w:rsidRDefault="002D2CBA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b/>
          <w:sz w:val="28"/>
          <w:szCs w:val="28"/>
        </w:rPr>
        <w:t>2</w:t>
      </w:r>
      <w:r w:rsidR="00AB7F52" w:rsidRPr="00ED63D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proofErr w:type="gram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proofErr w:type="gram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="004563D9"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563D9" w:rsidRPr="00ED63D3">
        <w:rPr>
          <w:rFonts w:ascii="Times New Roman" w:hAnsi="Times New Roman" w:cs="Times New Roman"/>
          <w:b/>
          <w:bCs/>
          <w:sz w:val="28"/>
          <w:szCs w:val="28"/>
        </w:rPr>
        <w:t>Kế</w:t>
      </w:r>
      <w:proofErr w:type="spellEnd"/>
      <w:r w:rsidR="004563D9" w:rsidRPr="00ED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62CDB" w:rsidRPr="00ED63D3">
        <w:rPr>
          <w:rFonts w:ascii="Times New Roman" w:hAnsi="Times New Roman" w:cs="Times New Roman"/>
          <w:b/>
          <w:bCs/>
          <w:sz w:val="28"/>
          <w:szCs w:val="28"/>
        </w:rPr>
        <w:t>hoạch</w:t>
      </w:r>
      <w:proofErr w:type="spellEnd"/>
    </w:p>
    <w:p w14:paraId="3CCC32C3" w14:textId="77777777" w:rsidR="00D503F1" w:rsidRPr="00ED63D3" w:rsidRDefault="00D503F1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88/2015QH13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2015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C4277A" w14:textId="77777777" w:rsidR="00D503F1" w:rsidRPr="00ED63D3" w:rsidRDefault="00D503F1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174/2016/NĐ-CP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chi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2B357C" w14:textId="77777777" w:rsidR="00D503F1" w:rsidRPr="00ED63D3" w:rsidRDefault="00D503F1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105/2013/NĐ-CP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9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lĩnh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độc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;</w:t>
      </w:r>
    </w:p>
    <w:p w14:paraId="14AF9870" w14:textId="77777777" w:rsidR="00D503F1" w:rsidRPr="00ED63D3" w:rsidRDefault="00D503F1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222/2013/NĐ-CP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tiền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F77BD1E" w14:textId="77777777" w:rsidR="00D503F1" w:rsidRPr="00ED63D3" w:rsidRDefault="00D503F1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107/2017/TT-BTC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nghiệ</w:t>
      </w:r>
      <w:r w:rsidR="00987712" w:rsidRPr="00ED63D3">
        <w:rPr>
          <w:rFonts w:ascii="Times New Roman" w:hAnsi="Times New Roman" w:cs="Times New Roman"/>
          <w:sz w:val="28"/>
          <w:szCs w:val="28"/>
        </w:rPr>
        <w:t>p</w:t>
      </w:r>
      <w:proofErr w:type="spellEnd"/>
      <w:r w:rsidR="00987712" w:rsidRPr="00ED63D3">
        <w:rPr>
          <w:rFonts w:ascii="Times New Roman" w:hAnsi="Times New Roman" w:cs="Times New Roman"/>
          <w:sz w:val="28"/>
          <w:szCs w:val="28"/>
        </w:rPr>
        <w:t>;</w:t>
      </w:r>
    </w:p>
    <w:p w14:paraId="1F9EED5C" w14:textId="32945A14" w:rsidR="004563D9" w:rsidRPr="00ED63D3" w:rsidRDefault="00D503F1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2CCEF543" w14:textId="12159574" w:rsidR="00262CDB" w:rsidRPr="00ED63D3" w:rsidRDefault="00262CDB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D63D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proofErr w:type="gramStart"/>
      <w:r w:rsidRPr="00ED63D3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proofErr w:type="gram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bCs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bCs/>
          <w:sz w:val="28"/>
          <w:szCs w:val="28"/>
        </w:rPr>
        <w:t>chính</w:t>
      </w:r>
      <w:proofErr w:type="spellEnd"/>
      <w:r w:rsidRPr="00ED63D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ED63D3">
        <w:rPr>
          <w:rFonts w:ascii="Times New Roman" w:hAnsi="Times New Roman" w:cs="Times New Roman"/>
          <w:b/>
          <w:bCs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</w:p>
    <w:p w14:paraId="1CBC0CB2" w14:textId="2CF107DE" w:rsidR="00A310FD" w:rsidRPr="00ED63D3" w:rsidRDefault="00A310FD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</w:t>
      </w:r>
      <w:r w:rsidR="002E2AFA"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43821" w:rsidRPr="00ED63D3">
        <w:fldChar w:fldCharType="begin"/>
      </w:r>
      <w:r w:rsidR="00843821" w:rsidRPr="00ED63D3">
        <w:rPr>
          <w:rFonts w:ascii="Times New Roman" w:hAnsi="Times New Roman" w:cs="Times New Roman"/>
          <w:sz w:val="28"/>
          <w:szCs w:val="28"/>
        </w:rPr>
        <w:instrText xml:space="preserve"> HYPERLINK "https://tuyencongchuc.vn/wp-content/uploads/2020/02/80.2015.QH13.doc" </w:instrText>
      </w:r>
      <w:r w:rsidR="00843821" w:rsidRPr="00ED63D3">
        <w:fldChar w:fldCharType="separate"/>
      </w:r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Luật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Ban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hành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văn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bản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quy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phạm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pháp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luật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số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80/2015/QH13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ngày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22/6/2015;</w:t>
      </w:r>
      <w:r w:rsidR="00843821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 w14:paraId="47BDF215" w14:textId="77777777" w:rsidR="00EA4D1E" w:rsidRPr="00ED63D3" w:rsidRDefault="00EA4D1E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>Nghị</w:t>
      </w:r>
      <w:proofErr w:type="spellEnd"/>
      <w:r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30/2020/NĐ-CP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ngày</w:t>
      </w:r>
      <w:proofErr w:type="spellEnd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5/3/2020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của</w:t>
      </w:r>
      <w:proofErr w:type="spellEnd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Chính</w:t>
      </w:r>
      <w:proofErr w:type="spellEnd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phủ</w:t>
      </w:r>
      <w:proofErr w:type="spellEnd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về</w:t>
      </w:r>
      <w:proofErr w:type="spellEnd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công</w:t>
      </w:r>
      <w:proofErr w:type="spellEnd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tác</w:t>
      </w:r>
      <w:proofErr w:type="spellEnd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văn</w:t>
      </w:r>
      <w:proofErr w:type="spellEnd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thư</w:t>
      </w:r>
      <w:proofErr w:type="spellEnd"/>
    </w:p>
    <w:p w14:paraId="61132B13" w14:textId="7364EA62" w:rsidR="00922AF5" w:rsidRPr="00ED63D3" w:rsidRDefault="00A310FD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2E2AFA"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843821" w:rsidRPr="00ED63D3">
        <w:fldChar w:fldCharType="begin"/>
      </w:r>
      <w:r w:rsidR="00843821" w:rsidRPr="00ED63D3">
        <w:rPr>
          <w:rFonts w:ascii="Times New Roman" w:hAnsi="Times New Roman" w:cs="Times New Roman"/>
          <w:sz w:val="28"/>
          <w:szCs w:val="28"/>
        </w:rPr>
        <w:instrText xml:space="preserve"> HYPERLINK "https://tuyencongchuc.vn/wp-content/uploads/2020/02/01.2011.TT_.BNV_-1.doc" </w:instrText>
      </w:r>
      <w:r w:rsidR="00843821" w:rsidRPr="00ED63D3">
        <w:fldChar w:fldCharType="separate"/>
      </w:r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Thông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tư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số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01/2011/TT-BNV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ngày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19/01/2011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của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Bộ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Nội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vụ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EF46E9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về</w:t>
      </w:r>
      <w:proofErr w:type="spellEnd"/>
      <w:r w:rsidR="00EF46E9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Hướng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dẫn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thể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thức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và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kỹ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thuật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trình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bày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văn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bản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hành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proofErr w:type="spellStart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chính</w:t>
      </w:r>
      <w:proofErr w:type="spellEnd"/>
      <w:r w:rsidR="002E2AFA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  <w:r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843821" w:rsidRPr="00ED63D3">
        <w:rPr>
          <w:rStyle w:val="Hyperlink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ldChar w:fldCharType="end"/>
      </w:r>
    </w:p>
    <w:p w14:paraId="591E3B04" w14:textId="598565A8" w:rsidR="00A310FD" w:rsidRPr="00ED63D3" w:rsidRDefault="00A310FD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quyền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cấu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nghệ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C32C311" w14:textId="77777777" w:rsidR="00A310FD" w:rsidRPr="00ED63D3" w:rsidRDefault="00A310FD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580B7E2E" w14:textId="045CA12A" w:rsidR="00262CDB" w:rsidRPr="00ED63D3" w:rsidRDefault="00262CDB" w:rsidP="00C82AC8">
      <w:pPr>
        <w:spacing w:before="120" w:after="120" w:line="29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dụng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hạng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III </w:t>
      </w:r>
    </w:p>
    <w:p w14:paraId="4BF48141" w14:textId="1AD9071C" w:rsidR="00262CDB" w:rsidRPr="00ED63D3" w:rsidRDefault="00247A62" w:rsidP="00C82AC8">
      <w:pPr>
        <w:pStyle w:val="ListParagraph"/>
        <w:numPr>
          <w:ilvl w:val="0"/>
          <w:numId w:val="18"/>
        </w:numPr>
        <w:spacing w:before="120" w:after="120" w:line="29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="00262CDB" w:rsidRPr="00ED63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Khí tượng</w:t>
      </w:r>
    </w:p>
    <w:p w14:paraId="1D8750D4" w14:textId="77777777" w:rsidR="0056240B" w:rsidRPr="00ED63D3" w:rsidRDefault="0056240B" w:rsidP="00C82AC8">
      <w:pPr>
        <w:spacing w:before="120" w:after="120" w:line="29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25/2012/TT-BTNMT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trắc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6B34935B" w14:textId="77777777" w:rsidR="0056240B" w:rsidRPr="00ED63D3" w:rsidRDefault="0056240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>-</w:t>
      </w:r>
      <w:r w:rsidRPr="00ED63D3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dưỡng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(Ban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529/2000/QĐ-TCKTTV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8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2000).</w:t>
      </w:r>
    </w:p>
    <w:p w14:paraId="5B05E8B1" w14:textId="77777777" w:rsidR="0056240B" w:rsidRPr="00ED63D3" w:rsidRDefault="0056240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06/2016/TT-BTNMT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0CBCB807" w14:textId="77777777" w:rsidR="0056240B" w:rsidRPr="00ED63D3" w:rsidRDefault="0056240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40/2016/TT-BTNMT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63D3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̣ 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Tài</w:t>
      </w:r>
      <w:proofErr w:type="spellEnd"/>
      <w:proofErr w:type="gram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15). </w:t>
      </w:r>
    </w:p>
    <w:p w14:paraId="3EECA355" w14:textId="77777777" w:rsidR="0056240B" w:rsidRPr="00ED63D3" w:rsidRDefault="0056240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41/2016/TT-BTNMT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X).</w:t>
      </w:r>
    </w:p>
    <w:p w14:paraId="1742D5F6" w14:textId="77777777" w:rsidR="0056240B" w:rsidRPr="00ED63D3" w:rsidRDefault="0056240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223/QĐ-TCKTTV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3138DBAE" w14:textId="6232ABE6" w:rsidR="0056240B" w:rsidRPr="00ED63D3" w:rsidRDefault="0056240B" w:rsidP="00C82AC8">
      <w:pPr>
        <w:spacing w:before="120" w:after="120" w:line="29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249/QĐ-TCKTTV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="00DF193C">
        <w:rPr>
          <w:rFonts w:ascii="Times New Roman" w:hAnsi="Times New Roman" w:cs="Times New Roman"/>
          <w:sz w:val="28"/>
          <w:szCs w:val="28"/>
        </w:rPr>
        <w:t>.</w:t>
      </w:r>
    </w:p>
    <w:p w14:paraId="5A9CC14B" w14:textId="60080974" w:rsidR="0056240B" w:rsidRPr="00ED63D3" w:rsidRDefault="0056240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synop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63D3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proofErr w:type="gram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316346CB" w14:textId="2408CB74" w:rsidR="00262CDB" w:rsidRPr="00ED63D3" w:rsidRDefault="00262CDB" w:rsidP="00C82AC8">
      <w:pPr>
        <w:spacing w:before="120" w:after="120" w:line="29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b/>
          <w:sz w:val="28"/>
          <w:szCs w:val="28"/>
        </w:rPr>
        <w:t xml:space="preserve">b. </w:t>
      </w:r>
      <w:proofErr w:type="spellStart"/>
      <w:r w:rsidR="00247A62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247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A62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="00247A62" w:rsidRPr="00ED63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văn</w:t>
      </w:r>
      <w:proofErr w:type="spellEnd"/>
    </w:p>
    <w:p w14:paraId="489FB0F6" w14:textId="1A0E90B5" w:rsidR="00262CDB" w:rsidRDefault="0056240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Kiến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Khoa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0B69F466" w14:textId="77777777" w:rsidR="00DF193C" w:rsidRPr="00ED63D3" w:rsidRDefault="00DF193C" w:rsidP="00DF193C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06/2016/TT-BTNMT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loại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7AD1943D" w14:textId="77777777" w:rsidR="00DF193C" w:rsidRPr="00ED63D3" w:rsidRDefault="00DF193C" w:rsidP="00DF193C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40/2016/TT-BTNMT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63D3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̣ 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Tài</w:t>
      </w:r>
      <w:proofErr w:type="spellEnd"/>
      <w:proofErr w:type="gram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II,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III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15). </w:t>
      </w:r>
    </w:p>
    <w:p w14:paraId="5530E849" w14:textId="77777777" w:rsidR="00DF193C" w:rsidRPr="00ED63D3" w:rsidRDefault="00DF193C" w:rsidP="00DF193C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41/2016/TT-BTNMT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của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Bô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̣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Tài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̀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trường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thuật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II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X).</w:t>
      </w:r>
    </w:p>
    <w:p w14:paraId="504C29BC" w14:textId="77777777" w:rsidR="00DF193C" w:rsidRPr="00ED63D3" w:rsidRDefault="00DF193C" w:rsidP="00DF193C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223/QĐ-TCKTTV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hiểm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3BD23C8E" w14:textId="6F91F0FE" w:rsidR="00DF193C" w:rsidRPr="00ED63D3" w:rsidRDefault="00DF193C" w:rsidP="00DF193C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249/QĐ-TCKTTV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13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trưởng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hệ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thuỷ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vi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cục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Khí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3154B7B1" w14:textId="77777777" w:rsidR="00262CDB" w:rsidRPr="00ED63D3" w:rsidRDefault="00262CDB" w:rsidP="00C82AC8">
      <w:pPr>
        <w:spacing w:before="120" w:after="120" w:line="29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liệu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thủy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4DEF7ECF" w14:textId="3EA796A2" w:rsidR="00262CDB" w:rsidRPr="00ED63D3" w:rsidRDefault="00262CDB" w:rsidP="00DF193C">
      <w:pPr>
        <w:spacing w:before="120" w:after="120" w:line="29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63D3">
        <w:rPr>
          <w:rFonts w:ascii="Times New Roman" w:hAnsi="Times New Roman" w:cs="Times New Roman"/>
          <w:sz w:val="28"/>
          <w:szCs w:val="28"/>
        </w:rPr>
        <w:t>-</w:t>
      </w:r>
      <w:r w:rsidR="00DF19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Khái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quát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đo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ED63D3">
        <w:rPr>
          <w:rFonts w:ascii="Times New Roman" w:hAnsi="Times New Roman" w:cs="Times New Roman"/>
          <w:sz w:val="28"/>
          <w:szCs w:val="28"/>
        </w:rPr>
        <w:t>.</w:t>
      </w:r>
    </w:p>
    <w:p w14:paraId="77E0B1A0" w14:textId="2B1BCCE2" w:rsidR="00262CDB" w:rsidRPr="00ED63D3" w:rsidRDefault="00262CD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3D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c. </w:t>
      </w:r>
      <w:proofErr w:type="spellStart"/>
      <w:r w:rsidR="00247A62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="00247A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47A62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="00247A62" w:rsidRPr="00ED63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Pr="00ED63D3">
        <w:rPr>
          <w:rFonts w:ascii="Times New Roman" w:hAnsi="Times New Roman" w:cs="Times New Roman"/>
          <w:b/>
          <w:sz w:val="28"/>
          <w:szCs w:val="28"/>
        </w:rPr>
        <w:t xml:space="preserve">Khoa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Cây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trồng</w:t>
      </w:r>
      <w:proofErr w:type="spellEnd"/>
    </w:p>
    <w:p w14:paraId="309C1E11" w14:textId="648FCC13" w:rsidR="00763815" w:rsidRPr="00ED63D3" w:rsidRDefault="00763815" w:rsidP="00C82AC8">
      <w:pPr>
        <w:pStyle w:val="NormalWeb"/>
        <w:spacing w:before="120" w:beforeAutospacing="0" w:after="120" w:afterAutospacing="0" w:line="290" w:lineRule="auto"/>
        <w:ind w:firstLine="720"/>
        <w:jc w:val="both"/>
        <w:rPr>
          <w:color w:val="000000"/>
          <w:sz w:val="28"/>
          <w:szCs w:val="28"/>
        </w:rPr>
      </w:pPr>
      <w:r w:rsidRPr="00ED63D3">
        <w:rPr>
          <w:color w:val="000000"/>
          <w:sz w:val="28"/>
          <w:szCs w:val="28"/>
        </w:rPr>
        <w:t xml:space="preserve">- </w:t>
      </w:r>
      <w:proofErr w:type="spellStart"/>
      <w:r w:rsidR="00C82AC8" w:rsidRPr="00ED63D3">
        <w:rPr>
          <w:color w:val="000000"/>
          <w:sz w:val="28"/>
          <w:szCs w:val="28"/>
        </w:rPr>
        <w:t>Quyết</w:t>
      </w:r>
      <w:proofErr w:type="spellEnd"/>
      <w:r w:rsidR="00C82AC8" w:rsidRPr="00ED63D3">
        <w:rPr>
          <w:color w:val="000000"/>
          <w:sz w:val="28"/>
          <w:szCs w:val="28"/>
        </w:rPr>
        <w:t xml:space="preserve"> </w:t>
      </w:r>
      <w:proofErr w:type="spellStart"/>
      <w:r w:rsidR="00C82AC8" w:rsidRPr="00ED63D3">
        <w:rPr>
          <w:color w:val="000000"/>
          <w:sz w:val="28"/>
          <w:szCs w:val="28"/>
        </w:rPr>
        <w:t>định</w:t>
      </w:r>
      <w:proofErr w:type="spellEnd"/>
      <w:r w:rsidR="00C82AC8" w:rsidRPr="00ED63D3">
        <w:rPr>
          <w:color w:val="000000"/>
          <w:sz w:val="28"/>
          <w:szCs w:val="28"/>
        </w:rPr>
        <w:t xml:space="preserve"> </w:t>
      </w:r>
      <w:proofErr w:type="spellStart"/>
      <w:r w:rsidR="00C82AC8" w:rsidRPr="00ED63D3">
        <w:rPr>
          <w:color w:val="000000"/>
          <w:sz w:val="28"/>
          <w:szCs w:val="28"/>
        </w:rPr>
        <w:t>s</w:t>
      </w:r>
      <w:r w:rsidRPr="00ED63D3">
        <w:rPr>
          <w:color w:val="000000"/>
          <w:sz w:val="28"/>
          <w:szCs w:val="28"/>
        </w:rPr>
        <w:t>ố</w:t>
      </w:r>
      <w:proofErr w:type="spellEnd"/>
      <w:r w:rsidR="00C82AC8" w:rsidRPr="00ED63D3">
        <w:rPr>
          <w:color w:val="000000"/>
          <w:sz w:val="28"/>
          <w:szCs w:val="28"/>
        </w:rPr>
        <w:t xml:space="preserve"> </w:t>
      </w:r>
      <w:r w:rsidRPr="00ED63D3">
        <w:rPr>
          <w:color w:val="000000"/>
          <w:sz w:val="28"/>
          <w:szCs w:val="28"/>
        </w:rPr>
        <w:t>124/QĐ-</w:t>
      </w:r>
      <w:proofErr w:type="spellStart"/>
      <w:r w:rsidRPr="00ED63D3">
        <w:rPr>
          <w:color w:val="000000"/>
          <w:sz w:val="28"/>
          <w:szCs w:val="28"/>
        </w:rPr>
        <w:t>TTg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ngày</w:t>
      </w:r>
      <w:proofErr w:type="spellEnd"/>
      <w:r w:rsidRPr="00ED63D3">
        <w:rPr>
          <w:color w:val="000000"/>
          <w:sz w:val="28"/>
          <w:szCs w:val="28"/>
        </w:rPr>
        <w:t xml:space="preserve"> 02 </w:t>
      </w:r>
      <w:proofErr w:type="spellStart"/>
      <w:r w:rsidRPr="00ED63D3">
        <w:rPr>
          <w:color w:val="000000"/>
          <w:sz w:val="28"/>
          <w:szCs w:val="28"/>
        </w:rPr>
        <w:t>tháng</w:t>
      </w:r>
      <w:proofErr w:type="spellEnd"/>
      <w:r w:rsidRPr="00ED63D3">
        <w:rPr>
          <w:color w:val="000000"/>
          <w:sz w:val="28"/>
          <w:szCs w:val="28"/>
        </w:rPr>
        <w:t xml:space="preserve"> 02 </w:t>
      </w:r>
      <w:proofErr w:type="spellStart"/>
      <w:r w:rsidRPr="00ED63D3">
        <w:rPr>
          <w:color w:val="000000"/>
          <w:sz w:val="28"/>
          <w:szCs w:val="28"/>
        </w:rPr>
        <w:t>năm</w:t>
      </w:r>
      <w:proofErr w:type="spellEnd"/>
      <w:r w:rsidRPr="00ED63D3">
        <w:rPr>
          <w:color w:val="000000"/>
          <w:sz w:val="28"/>
          <w:szCs w:val="28"/>
        </w:rPr>
        <w:t xml:space="preserve"> 2012 </w:t>
      </w:r>
      <w:proofErr w:type="spellStart"/>
      <w:r w:rsidRPr="00ED63D3">
        <w:rPr>
          <w:color w:val="000000"/>
          <w:sz w:val="28"/>
          <w:szCs w:val="28"/>
        </w:rPr>
        <w:t>Phê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duyệt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Quy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hoạch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tổng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thể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phát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triển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sản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xuất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ngành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nông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nghiệp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đến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năm</w:t>
      </w:r>
      <w:proofErr w:type="spellEnd"/>
      <w:r w:rsidRPr="00ED63D3">
        <w:rPr>
          <w:color w:val="000000"/>
          <w:sz w:val="28"/>
          <w:szCs w:val="28"/>
        </w:rPr>
        <w:t xml:space="preserve"> 2020 </w:t>
      </w:r>
      <w:proofErr w:type="spellStart"/>
      <w:r w:rsidRPr="00ED63D3">
        <w:rPr>
          <w:color w:val="000000"/>
          <w:sz w:val="28"/>
          <w:szCs w:val="28"/>
        </w:rPr>
        <w:t>và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tầm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nhìn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đến</w:t>
      </w:r>
      <w:proofErr w:type="spellEnd"/>
      <w:r w:rsidRPr="00ED63D3">
        <w:rPr>
          <w:color w:val="000000"/>
          <w:sz w:val="28"/>
          <w:szCs w:val="28"/>
        </w:rPr>
        <w:t xml:space="preserve"> 2030</w:t>
      </w:r>
      <w:r w:rsidR="00DF193C">
        <w:rPr>
          <w:color w:val="000000"/>
          <w:sz w:val="28"/>
          <w:szCs w:val="28"/>
        </w:rPr>
        <w:t>.</w:t>
      </w:r>
      <w:r w:rsidR="00247A62">
        <w:rPr>
          <w:color w:val="000000"/>
          <w:sz w:val="28"/>
          <w:szCs w:val="28"/>
        </w:rPr>
        <w:t xml:space="preserve"> </w:t>
      </w:r>
    </w:p>
    <w:p w14:paraId="703A4173" w14:textId="0A04BB1A" w:rsidR="00763815" w:rsidRPr="00ED63D3" w:rsidRDefault="00763815" w:rsidP="00C82AC8">
      <w:pPr>
        <w:pStyle w:val="NormalWeb"/>
        <w:spacing w:before="120" w:beforeAutospacing="0" w:after="120" w:afterAutospacing="0" w:line="290" w:lineRule="auto"/>
        <w:ind w:firstLine="720"/>
        <w:jc w:val="both"/>
        <w:rPr>
          <w:color w:val="000000"/>
          <w:sz w:val="28"/>
          <w:szCs w:val="28"/>
        </w:rPr>
      </w:pPr>
      <w:r w:rsidRPr="00ED63D3">
        <w:rPr>
          <w:color w:val="000000"/>
          <w:sz w:val="28"/>
          <w:szCs w:val="28"/>
        </w:rPr>
        <w:t xml:space="preserve">- </w:t>
      </w:r>
      <w:proofErr w:type="spellStart"/>
      <w:r w:rsidRPr="00ED63D3">
        <w:rPr>
          <w:color w:val="000000"/>
          <w:sz w:val="28"/>
          <w:szCs w:val="28"/>
        </w:rPr>
        <w:t>Quyết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định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số</w:t>
      </w:r>
      <w:proofErr w:type="spellEnd"/>
      <w:r w:rsidRPr="00ED63D3">
        <w:rPr>
          <w:color w:val="000000"/>
          <w:sz w:val="28"/>
          <w:szCs w:val="28"/>
        </w:rPr>
        <w:t xml:space="preserve"> 255/QĐ-</w:t>
      </w:r>
      <w:proofErr w:type="spellStart"/>
      <w:r w:rsidRPr="00ED63D3">
        <w:rPr>
          <w:color w:val="000000"/>
          <w:sz w:val="28"/>
          <w:szCs w:val="28"/>
        </w:rPr>
        <w:t>TTg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Ngày</w:t>
      </w:r>
      <w:proofErr w:type="spellEnd"/>
      <w:r w:rsidRPr="00ED63D3">
        <w:rPr>
          <w:color w:val="000000"/>
          <w:sz w:val="28"/>
          <w:szCs w:val="28"/>
        </w:rPr>
        <w:t xml:space="preserve"> 25/02/2021 </w:t>
      </w:r>
      <w:proofErr w:type="spellStart"/>
      <w:r w:rsidRPr="00ED63D3">
        <w:rPr>
          <w:color w:val="000000"/>
          <w:sz w:val="28"/>
          <w:szCs w:val="28"/>
        </w:rPr>
        <w:t>về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việc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phê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duyệt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kế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hoạch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cơ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cấu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lại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ngành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nông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nghiệp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giai</w:t>
      </w:r>
      <w:proofErr w:type="spellEnd"/>
      <w:r w:rsidRPr="00ED63D3">
        <w:rPr>
          <w:color w:val="000000"/>
          <w:sz w:val="28"/>
          <w:szCs w:val="28"/>
        </w:rPr>
        <w:t xml:space="preserve"> </w:t>
      </w:r>
      <w:proofErr w:type="spellStart"/>
      <w:r w:rsidRPr="00ED63D3">
        <w:rPr>
          <w:color w:val="000000"/>
          <w:sz w:val="28"/>
          <w:szCs w:val="28"/>
        </w:rPr>
        <w:t>đoạn</w:t>
      </w:r>
      <w:proofErr w:type="spellEnd"/>
      <w:r w:rsidRPr="00ED63D3">
        <w:rPr>
          <w:color w:val="000000"/>
          <w:sz w:val="28"/>
          <w:szCs w:val="28"/>
        </w:rPr>
        <w:t xml:space="preserve"> 2021 – 2025.</w:t>
      </w:r>
    </w:p>
    <w:p w14:paraId="02D6F612" w14:textId="7758CAEE" w:rsidR="00262CDB" w:rsidRPr="00ED63D3" w:rsidRDefault="001E7E6E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3D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Nắm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đặc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điểm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hoạch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nông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nghiệp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Nam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kiện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ngoại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cảnh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kinh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tế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-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xã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hội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để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thực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hiện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chiến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lược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phát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triển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nông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nghiệp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Việt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Nam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đến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2030</w:t>
      </w:r>
      <w:r w:rsidR="00DF19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4A89EA9" w14:textId="6362F915" w:rsidR="001E7E6E" w:rsidRPr="00ED63D3" w:rsidRDefault="001E7E6E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3D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Hiểu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qua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lại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giữa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khí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thủy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sản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xuất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nông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nghiệp</w:t>
      </w:r>
      <w:proofErr w:type="spellEnd"/>
    </w:p>
    <w:p w14:paraId="54358206" w14:textId="246E0EFD" w:rsidR="001E7E6E" w:rsidRPr="00ED63D3" w:rsidRDefault="001E7E6E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3D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Nắm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chiến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lược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khí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tượng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thủy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văn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đặc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biệt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dự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báo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phục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vụ</w:t>
      </w:r>
      <w:proofErr w:type="spellEnd"/>
      <w:r w:rsidR="00DF19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596E40E" w14:textId="2D41C392" w:rsidR="007B4038" w:rsidRPr="00ED63D3" w:rsidRDefault="007B4038" w:rsidP="00C82AC8">
      <w:pPr>
        <w:spacing w:before="120" w:after="120" w:line="29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3D3">
        <w:rPr>
          <w:rFonts w:ascii="Times New Roman" w:hAnsi="Times New Roman" w:cs="Times New Roman"/>
          <w:bCs/>
          <w:sz w:val="28"/>
          <w:szCs w:val="28"/>
        </w:rPr>
        <w:t>- FAO Irrigation and Drainage Paper. No. 56</w:t>
      </w:r>
      <w:r w:rsidR="00DF19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34B2D4BF" w14:textId="4EF892B4" w:rsidR="007B4038" w:rsidRPr="00ED63D3" w:rsidRDefault="007B4038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3D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B52CD" w:rsidRPr="00ED63D3">
        <w:rPr>
          <w:rFonts w:ascii="Times New Roman" w:hAnsi="Times New Roman" w:cs="Times New Roman"/>
          <w:bCs/>
          <w:sz w:val="28"/>
          <w:szCs w:val="28"/>
        </w:rPr>
        <w:t xml:space="preserve">A Study of the Agroclimatology of the humid tropics of south-east </w:t>
      </w:r>
      <w:proofErr w:type="spellStart"/>
      <w:r w:rsidR="003B52CD" w:rsidRPr="00ED63D3">
        <w:rPr>
          <w:rFonts w:ascii="Times New Roman" w:hAnsi="Times New Roman" w:cs="Times New Roman"/>
          <w:bCs/>
          <w:sz w:val="28"/>
          <w:szCs w:val="28"/>
        </w:rPr>
        <w:t>asia</w:t>
      </w:r>
      <w:proofErr w:type="spellEnd"/>
      <w:r w:rsidR="003B52CD" w:rsidRPr="00ED63D3">
        <w:rPr>
          <w:rFonts w:ascii="Times New Roman" w:hAnsi="Times New Roman" w:cs="Times New Roman"/>
          <w:bCs/>
          <w:sz w:val="28"/>
          <w:szCs w:val="28"/>
        </w:rPr>
        <w:t>. Technical note No.1979</w:t>
      </w:r>
      <w:r w:rsidR="00DF19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601343C7" w14:textId="77777777" w:rsidR="00247A62" w:rsidRDefault="00262CDB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D63D3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ED6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Tài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liệu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hướng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dẫn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ôn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tập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xét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tuyển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vị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trí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Chuyển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giao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nghệ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/>
          <w:sz w:val="28"/>
          <w:szCs w:val="28"/>
        </w:rPr>
        <w:t>hạng</w:t>
      </w:r>
      <w:proofErr w:type="spellEnd"/>
      <w:r w:rsidRPr="00ED63D3">
        <w:rPr>
          <w:rFonts w:ascii="Times New Roman" w:hAnsi="Times New Roman" w:cs="Times New Roman"/>
          <w:b/>
          <w:sz w:val="28"/>
          <w:szCs w:val="28"/>
        </w:rPr>
        <w:t xml:space="preserve"> III</w:t>
      </w:r>
      <w:r w:rsidR="0056240B" w:rsidRPr="00ED63D3">
        <w:rPr>
          <w:rFonts w:ascii="Times New Roman" w:hAnsi="Times New Roman" w:cs="Times New Roman"/>
          <w:b/>
          <w:sz w:val="28"/>
          <w:szCs w:val="28"/>
        </w:rPr>
        <w:t>:</w:t>
      </w:r>
      <w:r w:rsidRPr="00ED63D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</w:p>
    <w:p w14:paraId="410935AF" w14:textId="6B20B02B" w:rsidR="00262CDB" w:rsidRPr="00C30554" w:rsidRDefault="00247A62" w:rsidP="00C82AC8">
      <w:pPr>
        <w:tabs>
          <w:tab w:val="left" w:pos="993"/>
        </w:tabs>
        <w:spacing w:before="120" w:after="120" w:line="29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0554">
        <w:rPr>
          <w:rFonts w:ascii="Times New Roman" w:hAnsi="Times New Roman" w:cs="Times New Roman"/>
          <w:b/>
          <w:sz w:val="28"/>
          <w:szCs w:val="28"/>
        </w:rPr>
        <w:t>Chuyên</w:t>
      </w:r>
      <w:proofErr w:type="spellEnd"/>
      <w:r w:rsidRPr="00C30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30554">
        <w:rPr>
          <w:rFonts w:ascii="Times New Roman" w:hAnsi="Times New Roman" w:cs="Times New Roman"/>
          <w:b/>
          <w:sz w:val="28"/>
          <w:szCs w:val="28"/>
        </w:rPr>
        <w:t>ngành</w:t>
      </w:r>
      <w:proofErr w:type="spellEnd"/>
      <w:r w:rsidRPr="00C30554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proofErr w:type="spellStart"/>
      <w:r w:rsidR="00D92F61" w:rsidRPr="00C30554">
        <w:rPr>
          <w:rFonts w:ascii="Times New Roman" w:hAnsi="Times New Roman" w:cs="Times New Roman"/>
          <w:b/>
          <w:sz w:val="28"/>
          <w:szCs w:val="28"/>
        </w:rPr>
        <w:t>Môi</w:t>
      </w:r>
      <w:proofErr w:type="spellEnd"/>
      <w:r w:rsidR="00D92F61" w:rsidRPr="00C305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92F61" w:rsidRPr="00C30554">
        <w:rPr>
          <w:rFonts w:ascii="Times New Roman" w:hAnsi="Times New Roman" w:cs="Times New Roman"/>
          <w:b/>
          <w:sz w:val="28"/>
          <w:szCs w:val="28"/>
        </w:rPr>
        <w:t>trường</w:t>
      </w:r>
      <w:proofErr w:type="spellEnd"/>
    </w:p>
    <w:p w14:paraId="7DA5BB9B" w14:textId="5397C055" w:rsidR="00A7129A" w:rsidRPr="00ED63D3" w:rsidRDefault="00A7129A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3D3">
        <w:rPr>
          <w:rFonts w:ascii="Times New Roman" w:hAnsi="Times New Roman" w:cs="Times New Roman"/>
          <w:b/>
          <w:i/>
          <w:iCs/>
          <w:sz w:val="28"/>
          <w:szCs w:val="28"/>
        </w:rPr>
        <w:softHyphen/>
      </w:r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Luật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72/2020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17</w:t>
      </w:r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tháng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40B" w:rsidRPr="00ED63D3">
        <w:rPr>
          <w:rFonts w:ascii="Times New Roman" w:hAnsi="Times New Roman" w:cs="Times New Roman"/>
          <w:bCs/>
          <w:sz w:val="28"/>
          <w:szCs w:val="28"/>
        </w:rPr>
        <w:t>1</w:t>
      </w:r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1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240B" w:rsidRPr="00ED63D3">
        <w:rPr>
          <w:rFonts w:ascii="Times New Roman" w:hAnsi="Times New Roman" w:cs="Times New Roman"/>
          <w:bCs/>
          <w:sz w:val="28"/>
          <w:szCs w:val="28"/>
        </w:rPr>
        <w:t>2020</w:t>
      </w:r>
      <w:r w:rsidR="00DF19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444C5694" w14:textId="3BE0FEA1" w:rsidR="002B7D13" w:rsidRPr="00ED63D3" w:rsidRDefault="00713F71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63D3">
        <w:rPr>
          <w:rFonts w:ascii="Times New Roman" w:hAnsi="Times New Roman" w:cs="Times New Roman"/>
          <w:bCs/>
          <w:sz w:val="28"/>
          <w:szCs w:val="28"/>
        </w:rPr>
        <w:t>-</w:t>
      </w:r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Nghị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40/2019</w:t>
      </w:r>
      <w:bookmarkStart w:id="0" w:name="loai_1_name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/NĐ-CP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ngày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13</w:t>
      </w:r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tháng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7B" w:rsidRPr="00ED63D3">
        <w:rPr>
          <w:rFonts w:ascii="Times New Roman" w:hAnsi="Times New Roman" w:cs="Times New Roman"/>
          <w:bCs/>
          <w:sz w:val="28"/>
          <w:szCs w:val="28"/>
        </w:rPr>
        <w:t>5</w:t>
      </w:r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năm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82AC8" w:rsidRPr="00ED63D3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phủ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việc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Sửa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đổi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bổ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sung,</w:t>
      </w:r>
      <w:r w:rsidR="00C82AC8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một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số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của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nghị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định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chi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tiết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hướng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dẫn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thi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hành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Luật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F3C7B"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6F3C7B" w:rsidRPr="00ED63D3">
        <w:rPr>
          <w:rFonts w:ascii="Times New Roman" w:hAnsi="Times New Roman" w:cs="Times New Roman"/>
          <w:bCs/>
          <w:sz w:val="28"/>
          <w:szCs w:val="28"/>
        </w:rPr>
        <w:t>.</w:t>
      </w:r>
      <w:r w:rsidR="00E547CA"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End w:id="0"/>
    </w:p>
    <w:p w14:paraId="2288E1AF" w14:textId="68EF1E6D" w:rsidR="00E547CA" w:rsidRPr="00ED63D3" w:rsidRDefault="002B7D13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63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Nghị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54/2021/NĐ-CP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về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đánh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giá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bộ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tác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động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môi</w:t>
      </w:r>
      <w:proofErr w:type="spellEnd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</w:t>
      </w:r>
      <w:proofErr w:type="spellEnd"/>
      <w:r w:rsidR="00DF193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A2D6B80" w14:textId="297E2F73" w:rsidR="00E547CA" w:rsidRPr="00ED63D3" w:rsidRDefault="00A7129A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3D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Nắm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hAnsi="Times New Roman" w:cs="Times New Roman"/>
          <w:bCs/>
          <w:sz w:val="28"/>
          <w:szCs w:val="28"/>
        </w:rPr>
        <w:t>được</w:t>
      </w:r>
      <w:proofErr w:type="spellEnd"/>
      <w:r w:rsidR="00E547CA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="00E547CA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hAnsi="Times New Roman" w:cs="Times New Roman"/>
          <w:bCs/>
          <w:sz w:val="28"/>
          <w:szCs w:val="28"/>
        </w:rPr>
        <w:t>chủ</w:t>
      </w:r>
      <w:proofErr w:type="spellEnd"/>
      <w:r w:rsidR="00E547CA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hAnsi="Times New Roman" w:cs="Times New Roman"/>
          <w:bCs/>
          <w:sz w:val="28"/>
          <w:szCs w:val="28"/>
        </w:rPr>
        <w:t>trương</w:t>
      </w:r>
      <w:proofErr w:type="spellEnd"/>
      <w:r w:rsidR="00E547CA"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E547CA" w:rsidRPr="00ED63D3">
        <w:rPr>
          <w:rFonts w:ascii="Times New Roman" w:hAnsi="Times New Roman" w:cs="Times New Roman"/>
          <w:bCs/>
          <w:sz w:val="28"/>
          <w:szCs w:val="28"/>
        </w:rPr>
        <w:t>chính</w:t>
      </w:r>
      <w:proofErr w:type="spellEnd"/>
      <w:r w:rsidR="00E547CA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hAnsi="Times New Roman" w:cs="Times New Roman"/>
          <w:bCs/>
          <w:sz w:val="28"/>
          <w:szCs w:val="28"/>
        </w:rPr>
        <w:t>sách</w:t>
      </w:r>
      <w:proofErr w:type="spellEnd"/>
      <w:r w:rsidR="00E547CA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547CA" w:rsidRPr="00ED63D3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="00E547CA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="0056240B"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6240B"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DF19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13236CE2" w14:textId="386F18A9" w:rsidR="00A7129A" w:rsidRPr="00ED63D3" w:rsidRDefault="0056240B" w:rsidP="00C82AC8">
      <w:pPr>
        <w:pStyle w:val="ListParagraph"/>
        <w:spacing w:before="120" w:after="120" w:line="290" w:lineRule="auto"/>
        <w:ind w:left="0"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63D3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Nắm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vững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kiến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thức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về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Quy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hoạch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Chiến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lược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đánh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gia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tác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động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kế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hoạch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xác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nhận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hoàn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thành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các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công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trình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bảo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vệ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kiểm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soát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ô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nhiễm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;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điều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tra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nguồn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thải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và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quản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lý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nguồn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thải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gây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ô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nhiễm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môi</w:t>
      </w:r>
      <w:proofErr w:type="spellEnd"/>
      <w:r w:rsidRPr="00ED63D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D63D3">
        <w:rPr>
          <w:rFonts w:ascii="Times New Roman" w:hAnsi="Times New Roman" w:cs="Times New Roman"/>
          <w:bCs/>
          <w:sz w:val="28"/>
          <w:szCs w:val="28"/>
        </w:rPr>
        <w:t>trường</w:t>
      </w:r>
      <w:proofErr w:type="spellEnd"/>
      <w:r w:rsidR="00DF193C">
        <w:rPr>
          <w:rFonts w:ascii="Times New Roman" w:hAnsi="Times New Roman" w:cs="Times New Roman"/>
          <w:bCs/>
          <w:sz w:val="28"/>
          <w:szCs w:val="28"/>
        </w:rPr>
        <w:t>.</w:t>
      </w:r>
    </w:p>
    <w:p w14:paraId="7E268DF1" w14:textId="24CE8B42" w:rsidR="00A7129A" w:rsidRPr="00ED63D3" w:rsidRDefault="00A7129A" w:rsidP="00A310FD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8752B" w14:textId="77777777" w:rsidR="00C24816" w:rsidRPr="00ED63D3" w:rsidRDefault="00C24816" w:rsidP="00262CDB">
      <w:pPr>
        <w:pStyle w:val="ListParagraph"/>
        <w:spacing w:before="120" w:after="12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C24816" w:rsidRPr="00ED63D3" w:rsidSect="00C82A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5C6A4" w14:textId="77777777" w:rsidR="00C54C87" w:rsidRDefault="00C54C87" w:rsidP="003D438B">
      <w:pPr>
        <w:spacing w:after="0" w:line="240" w:lineRule="auto"/>
      </w:pPr>
      <w:r>
        <w:separator/>
      </w:r>
    </w:p>
  </w:endnote>
  <w:endnote w:type="continuationSeparator" w:id="0">
    <w:p w14:paraId="5E7610EA" w14:textId="77777777" w:rsidR="00C54C87" w:rsidRDefault="00C54C87" w:rsidP="003D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5FD2F" w14:textId="77777777" w:rsidR="00DD5831" w:rsidRDefault="00DD58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6117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01F83F" w14:textId="77777777" w:rsidR="00DD5831" w:rsidRDefault="00DD58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1B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9D51A4" w14:textId="77777777" w:rsidR="00DD5831" w:rsidRDefault="00DD58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EE6C" w14:textId="77777777" w:rsidR="00DD5831" w:rsidRDefault="00DD58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0E98B" w14:textId="77777777" w:rsidR="00C54C87" w:rsidRDefault="00C54C87" w:rsidP="003D438B">
      <w:pPr>
        <w:spacing w:after="0" w:line="240" w:lineRule="auto"/>
      </w:pPr>
      <w:r>
        <w:separator/>
      </w:r>
    </w:p>
  </w:footnote>
  <w:footnote w:type="continuationSeparator" w:id="0">
    <w:p w14:paraId="7EDF33F7" w14:textId="77777777" w:rsidR="00C54C87" w:rsidRDefault="00C54C87" w:rsidP="003D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08D8F" w14:textId="77777777" w:rsidR="00DD5831" w:rsidRDefault="00DD58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0F87A" w14:textId="77777777" w:rsidR="00DD5831" w:rsidRDefault="00DD58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13D7" w14:textId="77777777" w:rsidR="00DD5831" w:rsidRDefault="00DD58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596"/>
    <w:multiLevelType w:val="hybridMultilevel"/>
    <w:tmpl w:val="23389D4C"/>
    <w:lvl w:ilvl="0" w:tplc="D39A4D84">
      <w:start w:val="1"/>
      <w:numFmt w:val="lowerLetter"/>
      <w:lvlText w:val="%1."/>
      <w:lvlJc w:val="left"/>
      <w:pPr>
        <w:ind w:left="142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D156864"/>
    <w:multiLevelType w:val="hybridMultilevel"/>
    <w:tmpl w:val="CDE8F626"/>
    <w:lvl w:ilvl="0" w:tplc="4B2AD7DC">
      <w:numFmt w:val="bullet"/>
      <w:lvlText w:val=""/>
      <w:lvlJc w:val="left"/>
      <w:pPr>
        <w:ind w:left="79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5F37D2"/>
    <w:multiLevelType w:val="hybridMultilevel"/>
    <w:tmpl w:val="6C661546"/>
    <w:lvl w:ilvl="0" w:tplc="EDCC3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A37522"/>
    <w:multiLevelType w:val="hybridMultilevel"/>
    <w:tmpl w:val="9B12AC46"/>
    <w:lvl w:ilvl="0" w:tplc="1D96501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FD7524E"/>
    <w:multiLevelType w:val="hybridMultilevel"/>
    <w:tmpl w:val="1CE600E0"/>
    <w:lvl w:ilvl="0" w:tplc="A248226C">
      <w:start w:val="1"/>
      <w:numFmt w:val="decimal"/>
      <w:lvlText w:val="%1."/>
      <w:lvlJc w:val="left"/>
      <w:pPr>
        <w:ind w:left="4057" w:hanging="360"/>
      </w:pPr>
      <w:rPr>
        <w:rFonts w:hint="default"/>
      </w:rPr>
    </w:lvl>
    <w:lvl w:ilvl="1" w:tplc="D2FCABC8">
      <w:numFmt w:val="bullet"/>
      <w:lvlText w:val="-"/>
      <w:lvlJc w:val="left"/>
      <w:pPr>
        <w:ind w:left="4777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5497" w:hanging="180"/>
      </w:pPr>
    </w:lvl>
    <w:lvl w:ilvl="3" w:tplc="0409000F" w:tentative="1">
      <w:start w:val="1"/>
      <w:numFmt w:val="decimal"/>
      <w:lvlText w:val="%4."/>
      <w:lvlJc w:val="left"/>
      <w:pPr>
        <w:ind w:left="6217" w:hanging="360"/>
      </w:pPr>
    </w:lvl>
    <w:lvl w:ilvl="4" w:tplc="04090019" w:tentative="1">
      <w:start w:val="1"/>
      <w:numFmt w:val="lowerLetter"/>
      <w:lvlText w:val="%5."/>
      <w:lvlJc w:val="left"/>
      <w:pPr>
        <w:ind w:left="6937" w:hanging="360"/>
      </w:pPr>
    </w:lvl>
    <w:lvl w:ilvl="5" w:tplc="0409001B" w:tentative="1">
      <w:start w:val="1"/>
      <w:numFmt w:val="lowerRoman"/>
      <w:lvlText w:val="%6."/>
      <w:lvlJc w:val="right"/>
      <w:pPr>
        <w:ind w:left="7657" w:hanging="180"/>
      </w:pPr>
    </w:lvl>
    <w:lvl w:ilvl="6" w:tplc="0409000F" w:tentative="1">
      <w:start w:val="1"/>
      <w:numFmt w:val="decimal"/>
      <w:lvlText w:val="%7."/>
      <w:lvlJc w:val="left"/>
      <w:pPr>
        <w:ind w:left="8377" w:hanging="360"/>
      </w:pPr>
    </w:lvl>
    <w:lvl w:ilvl="7" w:tplc="04090019" w:tentative="1">
      <w:start w:val="1"/>
      <w:numFmt w:val="lowerLetter"/>
      <w:lvlText w:val="%8."/>
      <w:lvlJc w:val="left"/>
      <w:pPr>
        <w:ind w:left="9097" w:hanging="360"/>
      </w:pPr>
    </w:lvl>
    <w:lvl w:ilvl="8" w:tplc="0409001B" w:tentative="1">
      <w:start w:val="1"/>
      <w:numFmt w:val="lowerRoman"/>
      <w:lvlText w:val="%9."/>
      <w:lvlJc w:val="right"/>
      <w:pPr>
        <w:ind w:left="9817" w:hanging="180"/>
      </w:pPr>
    </w:lvl>
  </w:abstractNum>
  <w:abstractNum w:abstractNumId="5" w15:restartNumberingAfterBreak="0">
    <w:nsid w:val="445C4C5D"/>
    <w:multiLevelType w:val="hybridMultilevel"/>
    <w:tmpl w:val="6BEA541A"/>
    <w:lvl w:ilvl="0" w:tplc="308231EA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45FD2E33"/>
    <w:multiLevelType w:val="multilevel"/>
    <w:tmpl w:val="45CC1E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B03A55"/>
    <w:multiLevelType w:val="hybridMultilevel"/>
    <w:tmpl w:val="57B2C13A"/>
    <w:lvl w:ilvl="0" w:tplc="501EE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67C49"/>
    <w:multiLevelType w:val="hybridMultilevel"/>
    <w:tmpl w:val="C226DAB2"/>
    <w:lvl w:ilvl="0" w:tplc="7F72AFA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86848C9"/>
    <w:multiLevelType w:val="hybridMultilevel"/>
    <w:tmpl w:val="F8E05EC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8810510"/>
    <w:multiLevelType w:val="multilevel"/>
    <w:tmpl w:val="EFBA70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D9394F"/>
    <w:multiLevelType w:val="hybridMultilevel"/>
    <w:tmpl w:val="F8520112"/>
    <w:lvl w:ilvl="0" w:tplc="52D08940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31721D"/>
    <w:multiLevelType w:val="hybridMultilevel"/>
    <w:tmpl w:val="5A501D16"/>
    <w:lvl w:ilvl="0" w:tplc="B86CA500">
      <w:start w:val="2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1B533CF"/>
    <w:multiLevelType w:val="multilevel"/>
    <w:tmpl w:val="7FC8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774D15"/>
    <w:multiLevelType w:val="hybridMultilevel"/>
    <w:tmpl w:val="A8DEC1E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EC78FF"/>
    <w:multiLevelType w:val="hybridMultilevel"/>
    <w:tmpl w:val="33D0FAF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D5A7099"/>
    <w:multiLevelType w:val="hybridMultilevel"/>
    <w:tmpl w:val="A44C887C"/>
    <w:lvl w:ilvl="0" w:tplc="1A6614DC">
      <w:start w:val="1"/>
      <w:numFmt w:val="bullet"/>
      <w:lvlText w:val="-"/>
      <w:lvlJc w:val="left"/>
      <w:pPr>
        <w:ind w:left="178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7" w15:restartNumberingAfterBreak="0">
    <w:nsid w:val="7283504F"/>
    <w:multiLevelType w:val="hybridMultilevel"/>
    <w:tmpl w:val="DF600A14"/>
    <w:lvl w:ilvl="0" w:tplc="8B8CE8E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F954072"/>
    <w:multiLevelType w:val="hybridMultilevel"/>
    <w:tmpl w:val="F230C1D4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16"/>
  </w:num>
  <w:num w:numId="7">
    <w:abstractNumId w:val="5"/>
  </w:num>
  <w:num w:numId="8">
    <w:abstractNumId w:val="12"/>
  </w:num>
  <w:num w:numId="9">
    <w:abstractNumId w:val="18"/>
  </w:num>
  <w:num w:numId="10">
    <w:abstractNumId w:val="17"/>
  </w:num>
  <w:num w:numId="11">
    <w:abstractNumId w:val="1"/>
  </w:num>
  <w:num w:numId="12">
    <w:abstractNumId w:val="9"/>
  </w:num>
  <w:num w:numId="13">
    <w:abstractNumId w:val="15"/>
  </w:num>
  <w:num w:numId="14">
    <w:abstractNumId w:val="14"/>
  </w:num>
  <w:num w:numId="15">
    <w:abstractNumId w:val="10"/>
  </w:num>
  <w:num w:numId="16">
    <w:abstractNumId w:val="6"/>
  </w:num>
  <w:num w:numId="17">
    <w:abstractNumId w:val="11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E74"/>
    <w:rsid w:val="00001B1F"/>
    <w:rsid w:val="00043D3F"/>
    <w:rsid w:val="000574EF"/>
    <w:rsid w:val="00125656"/>
    <w:rsid w:val="00125A17"/>
    <w:rsid w:val="001308B1"/>
    <w:rsid w:val="00130EA3"/>
    <w:rsid w:val="00143616"/>
    <w:rsid w:val="001632F8"/>
    <w:rsid w:val="001767FA"/>
    <w:rsid w:val="00177A58"/>
    <w:rsid w:val="001B7C8B"/>
    <w:rsid w:val="001C549C"/>
    <w:rsid w:val="001E7E6E"/>
    <w:rsid w:val="00247A62"/>
    <w:rsid w:val="00250CB5"/>
    <w:rsid w:val="002612D1"/>
    <w:rsid w:val="00262CDB"/>
    <w:rsid w:val="002B7D13"/>
    <w:rsid w:val="002C35FA"/>
    <w:rsid w:val="002D2CBA"/>
    <w:rsid w:val="002E2AFA"/>
    <w:rsid w:val="00326D71"/>
    <w:rsid w:val="00365CE0"/>
    <w:rsid w:val="003A161D"/>
    <w:rsid w:val="003B058E"/>
    <w:rsid w:val="003B52CD"/>
    <w:rsid w:val="003D438B"/>
    <w:rsid w:val="0041482F"/>
    <w:rsid w:val="004563D9"/>
    <w:rsid w:val="0046604A"/>
    <w:rsid w:val="005055F7"/>
    <w:rsid w:val="00522615"/>
    <w:rsid w:val="00525FFE"/>
    <w:rsid w:val="0056240B"/>
    <w:rsid w:val="005653A8"/>
    <w:rsid w:val="005D1E12"/>
    <w:rsid w:val="005D4727"/>
    <w:rsid w:val="005E2446"/>
    <w:rsid w:val="00600831"/>
    <w:rsid w:val="0061668B"/>
    <w:rsid w:val="00665BCA"/>
    <w:rsid w:val="0067209D"/>
    <w:rsid w:val="00677093"/>
    <w:rsid w:val="00696DE5"/>
    <w:rsid w:val="006A3279"/>
    <w:rsid w:val="006A767D"/>
    <w:rsid w:val="006C1372"/>
    <w:rsid w:val="006C31F2"/>
    <w:rsid w:val="006F2565"/>
    <w:rsid w:val="006F3C7B"/>
    <w:rsid w:val="00701174"/>
    <w:rsid w:val="00701587"/>
    <w:rsid w:val="00713F71"/>
    <w:rsid w:val="007238E6"/>
    <w:rsid w:val="00753625"/>
    <w:rsid w:val="007539A1"/>
    <w:rsid w:val="00763815"/>
    <w:rsid w:val="007661C2"/>
    <w:rsid w:val="0077723C"/>
    <w:rsid w:val="007A7CF6"/>
    <w:rsid w:val="007B4038"/>
    <w:rsid w:val="007B7FE3"/>
    <w:rsid w:val="007D16BE"/>
    <w:rsid w:val="007E0A18"/>
    <w:rsid w:val="00841091"/>
    <w:rsid w:val="00843821"/>
    <w:rsid w:val="008756F6"/>
    <w:rsid w:val="00875FAD"/>
    <w:rsid w:val="0089088C"/>
    <w:rsid w:val="008B15AE"/>
    <w:rsid w:val="00922AF5"/>
    <w:rsid w:val="0095670F"/>
    <w:rsid w:val="009721E2"/>
    <w:rsid w:val="00987712"/>
    <w:rsid w:val="009B46E7"/>
    <w:rsid w:val="00A310FD"/>
    <w:rsid w:val="00A36839"/>
    <w:rsid w:val="00A37763"/>
    <w:rsid w:val="00A57E09"/>
    <w:rsid w:val="00A7129A"/>
    <w:rsid w:val="00A76292"/>
    <w:rsid w:val="00A93C11"/>
    <w:rsid w:val="00AB2669"/>
    <w:rsid w:val="00AB7F52"/>
    <w:rsid w:val="00B00951"/>
    <w:rsid w:val="00B03A71"/>
    <w:rsid w:val="00B11015"/>
    <w:rsid w:val="00B7173F"/>
    <w:rsid w:val="00BA1F95"/>
    <w:rsid w:val="00BA532C"/>
    <w:rsid w:val="00C24816"/>
    <w:rsid w:val="00C30554"/>
    <w:rsid w:val="00C3456D"/>
    <w:rsid w:val="00C37957"/>
    <w:rsid w:val="00C47E74"/>
    <w:rsid w:val="00C54C87"/>
    <w:rsid w:val="00C63DFB"/>
    <w:rsid w:val="00C6577A"/>
    <w:rsid w:val="00C82AC8"/>
    <w:rsid w:val="00C82DE8"/>
    <w:rsid w:val="00C86E6B"/>
    <w:rsid w:val="00CA0A76"/>
    <w:rsid w:val="00CA501B"/>
    <w:rsid w:val="00CB1A9A"/>
    <w:rsid w:val="00CB3F00"/>
    <w:rsid w:val="00D303DD"/>
    <w:rsid w:val="00D503F1"/>
    <w:rsid w:val="00D644C7"/>
    <w:rsid w:val="00D6574D"/>
    <w:rsid w:val="00D771A8"/>
    <w:rsid w:val="00D87732"/>
    <w:rsid w:val="00D92F61"/>
    <w:rsid w:val="00DC32A4"/>
    <w:rsid w:val="00DD1487"/>
    <w:rsid w:val="00DD5831"/>
    <w:rsid w:val="00DE1E28"/>
    <w:rsid w:val="00DE3C8E"/>
    <w:rsid w:val="00DE4456"/>
    <w:rsid w:val="00DE7FAC"/>
    <w:rsid w:val="00DF193C"/>
    <w:rsid w:val="00E13D26"/>
    <w:rsid w:val="00E16AC4"/>
    <w:rsid w:val="00E547CA"/>
    <w:rsid w:val="00E634AC"/>
    <w:rsid w:val="00E8254C"/>
    <w:rsid w:val="00E877E1"/>
    <w:rsid w:val="00E87D65"/>
    <w:rsid w:val="00EA4D1E"/>
    <w:rsid w:val="00EB1A20"/>
    <w:rsid w:val="00EB3C90"/>
    <w:rsid w:val="00ED63D3"/>
    <w:rsid w:val="00EF46E9"/>
    <w:rsid w:val="00F31A16"/>
    <w:rsid w:val="00F56031"/>
    <w:rsid w:val="00F67473"/>
    <w:rsid w:val="00F751E8"/>
    <w:rsid w:val="00FB1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02180"/>
  <w15:docId w15:val="{6D476412-04BD-4EB8-AF4E-AD4AA35D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D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38B"/>
  </w:style>
  <w:style w:type="paragraph" w:styleId="Footer">
    <w:name w:val="footer"/>
    <w:basedOn w:val="Normal"/>
    <w:link w:val="FooterChar"/>
    <w:uiPriority w:val="99"/>
    <w:unhideWhenUsed/>
    <w:rsid w:val="003D4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38B"/>
  </w:style>
  <w:style w:type="character" w:customStyle="1" w:styleId="BodyTextChar">
    <w:name w:val="Body Text Char"/>
    <w:basedOn w:val="DefaultParagraphFont"/>
    <w:link w:val="BodyText"/>
    <w:rsid w:val="008B15A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qFormat/>
    <w:rsid w:val="008B15AE"/>
    <w:pPr>
      <w:widowControl w:val="0"/>
      <w:shd w:val="clear" w:color="auto" w:fill="FFFFFF"/>
      <w:spacing w:after="100" w:line="26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1">
    <w:name w:val="Body Text Char1"/>
    <w:basedOn w:val="DefaultParagraphFont"/>
    <w:uiPriority w:val="99"/>
    <w:semiHidden/>
    <w:rsid w:val="008B15AE"/>
  </w:style>
  <w:style w:type="character" w:styleId="Hyperlink">
    <w:name w:val="Hyperlink"/>
    <w:basedOn w:val="DefaultParagraphFont"/>
    <w:uiPriority w:val="99"/>
    <w:semiHidden/>
    <w:unhideWhenUsed/>
    <w:rsid w:val="002E2AF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10F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3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C5B91-0997-49AF-A09B-F380AD5B9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</Company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Nguyễn Toàn Thắng</cp:lastModifiedBy>
  <cp:revision>3</cp:revision>
  <cp:lastPrinted>2021-10-01T04:22:00Z</cp:lastPrinted>
  <dcterms:created xsi:type="dcterms:W3CDTF">2021-10-08T08:56:00Z</dcterms:created>
  <dcterms:modified xsi:type="dcterms:W3CDTF">2021-10-08T08:57:00Z</dcterms:modified>
</cp:coreProperties>
</file>